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Lagerausfallanalyse und Vorsichtsmaßnahmen</w:t>
      </w:r>
    </w:p>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Wenn das Lager in Betrieb ist, ist die Genauigkeit aufgrund äußerer oder interner Faktoren verringert oder sogar ungültig. Im Folgenden werden verschiedene Fehlerursachenanalysen und Vorsichtsmaßnahmen für Lager aufgeführt.</w:t>
      </w:r>
    </w:p>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1. Kontaktermüdungsfehler</w:t>
      </w:r>
    </w:p>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Kontaktermüdungsversagen bezieht sich auf das Versagen der Arbeitsfläche des Lagers, das wechselnder Beanspruchung ausgesetzt ist. Auf der Arbeitsfläche des Lagers tritt Kontaktermüdung auf, die häufig von Ermüdungsrissen begleitet wird, und zwar zunächst von der maximalen Scherbeanspruchung unter der Kontaktfläche und dann auf die Oberfläche, um verschiedene Abplatzungen zu bilden, wie etwa Lochfraß oder Lochfraß. Schälen in kleine Stücke, die als flaches Peeling bezeichnet werden. Aufgrund der allmählichen Vergrößerung der Peeling-Oberfläche neigt sie dazu, sich tiefer auszubreiten und tiefes Peeling zu bilden. Tiefes Peeling verursacht Ermüdung bei Kontaktermüdungsversagen.</w:t>
      </w:r>
    </w:p>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2, Verschleiß und Abnutzung</w:t>
      </w:r>
    </w:p>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Verschleißversagen bezieht sich auf das Versagen der relativen Gleitreibung zwischen den Oberflächen, was zu einem kontinuierlichen Verschleiß des Metalls auf der Arbeitsoberfläche führt. Anhaltender Verschleiß führt zu einer allmählichen Beschädigung der Lagerkomponenten und letztendlich zu einem Verlust der Abmessungsgenauigkeit des Lagers und anderer damit zusammenhängender Probleme. Verschleiß kann die Formänderung beeinflussen, die Vergrößerung des Spiels und die Änderung der Oberfläche der Arbeitsfläche kann das Schmiermittel beeinflussen oder die Verschmutzung in einem gewissen Ausmaß verursachen, was zu einem vollständigen Verlust der Schmier</w:t>
      </w:r>
      <w:bookmarkStart w:id="0" w:name="_GoBack"/>
      <w:bookmarkEnd w:id="0"/>
      <w:r>
        <w:rPr>
          <w:rFonts w:hint="eastAsia"/>
          <w:color w:val="000000" w:themeColor="text1"/>
          <w:sz w:val="28"/>
          <w:szCs w:val="28"/>
          <w14:textFill>
            <w14:solidFill>
              <w14:schemeClr w14:val="tx1"/>
            </w14:solidFill>
          </w14:textFill>
        </w:rPr>
        <w:t>funktion führt, wodurch das Lager die Drehgenauigkeit oder sogar den normalen Betrieb verliert. Verschleißversagen stellen eine der häufigsten Ausfallarten für verschiedene Lagertypen dar. Sie werden normalerweise nach Verschleißart und Verschleiß klassifiziert.</w:t>
      </w:r>
    </w:p>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Abrasiver Verschleiß bezieht sich auf Verschleiß, der durch das Eindringen von fremden harten Partikeln oder harten Fremdstoffen oder Metalloberflächen zwischen der Arbeitsfläche des Lagers und der relativen Bewegung der Kontaktfläche verursacht wird, was häufig furchenartige Kratzer auf der Arbeitsfläche des Lagers verursacht. Harte Partikel oder Fremdkörper können aus dem Inneren des Hosts oder aus anderen benachbarten Teilen des Hostsystems aus dem Schmiermedium in das Innere des Lagers kommen. Kenntnis der Fehler der Lagergenauigkeit. Adhäsivverschleiß bezieht sich auf eine ungleichmäßige Reibung der Reibungsfläche aufgrund von mikroskopischen Vorsprüngen oder Fremdkörpern auf der Reibungsfläche. Wenn der Schmierzustand ernsthaft verschlechtert wird, tritt lokale Reibung auf, die auf lokale Reibung zurückzuführen ist, die zu einer lokalen Verformung der Reibungsfläche und zu Reibungs-Mikroschweißung führen kann. Wenn das Oberflächenmetall teilweise geschmolzen werden kann, reißt die Kraft auf der Kontaktfläche die lokale Reibungsschweißung vom Substrat, um die plastische Verformung zu erhöhen. Dieser Zyklus des Klebstoff-Aufreißklebstoffs stellt einen Klebstoffverschleiß dar. Im Allgemeinen wird ein leichter Klebstoffverschleiß als Abrieb bezeichnet, und ein starker Klebstoffverschleiß wird als Okklusion bezeichnet.</w:t>
      </w:r>
    </w:p>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3, Bruchversagen</w:t>
      </w:r>
    </w:p>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Die Hauptursache für Lagerbruchbrüche sind die beiden Hauptfaktoren Defekt und Überlastung. Wenn die aufgebrachte Last die Materialfestigkeitsgrenze überschreitet und das Teil gebrochen ist, wird es als Überlastungsbruch bezeichnet. Der Hauptgrund für die Überlastung ist der plötzliche Ausfall des Hosts oder eine fehlerhafte Installation. Defekte wie Mikrorisse, Schrumpfungskavitäten, Luftblasen, große Fremdkörper, überhitztes Gewebe und örtliche Verbrennungen der Lagerteile verursachen auch Bruchschäden an den Defekten während der Stoßüberlastung oder schwere Vibrationen, die als Defektbruch bezeichnet werden. Es sollte darauf hingewiesen werden, dass im Herstellungsprozess, im Prozess der erneuten Inspektion von Rohmaterialien, der Qualitätskontrolle des Schmiedens und der Wärmebehandlung sowie der Prozesskontrolle die oben genannten Mängel durch Instrumente korrekt analysiert werden können und die Kontrolle in der Zukunft verstärkt werden muss. Im Allgemeinen handelt es sich bei den meisten auftretenden Lagerbrüchen jedoch um Überlastungsfehler.</w:t>
      </w:r>
    </w:p>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In 4 ist die Lückenänderung ungültig</w:t>
      </w:r>
    </w:p>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Während des Betriebs des Lagers wird aufgrund des Einflusses äußerer oder interner Faktoren der ursprüngliche Übereinstimmungsabstand geändert, die Genauigkeit verringert und sogar der "beißende Tod" wird als Lückenänderungsversagen bezeichnet. Äußere Faktoren wie übermäßige Interferenz, unzureichende Installation, Ausdehnung durch Temperaturanstieg, sofortige Überlastung usw., interne Faktoren wie Restaustenit und Eigenspannungen sind instabil. Dies sind die Hauptgründe für das Versagen der Spaltwechseländerung.</w:t>
      </w:r>
    </w:p>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1. Wenn das Lager gut geschmiert ist und Schmutz und Feuchtigkeit ordnungsgemäß blockiert, bedeutet dies, dass der Wellendichtring frei von Verschleiß sein sollte. Es ist jedoch am besten, das Lager zu überprüfen und regelmäßig den Wellendichtring zu prüfen, wenn sich das Lagergehäuse öffnet, um den Zustand des Wellendichtrings in der Nähe des Lagers zu überprüfen. Um sicherzustellen, dass sie ausreichen, um zu verhindern, dass heiße Flüssigkeiten oder korrosive Flüssigkeiten oder Gase entlang der Achse in das Lager eindringen, sollte der Dichtring bei Verschleiß so bald wie möglich ausgetauscht werden.</w:t>
      </w:r>
    </w:p>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In 2 zeigt eine hohe Temperatur oft an, dass sich das Lager in einer anormalen Situation befindet. Hohe Temperatur ist auch schädlich für das Schmiermittel im Lager. Manchmal ist das Lager überhitzt, was auf den Schmierstoff des Lagers zurückzuführen ist: Wenn das Lager länger als 125 Grad Celsius betrieben wird, verringert sich die Lebensdauer des Lagers.</w:t>
      </w:r>
    </w:p>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Ursachen für Hochtemperaturlager sind: ungenügende Schmierung oder übermäßige Schmierung, Verunreinigungen im Schmiermittel, übermäßige Belastung, Lagerschäden, unzureichendes Spiel und durch den Öldichtring verursachte Hochtemperaturreibung.</w:t>
      </w:r>
    </w:p>
    <w:p>
      <w:pP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3. Überprüfen Sie den Zustand der Maschine in Betrieb und überwachen Sie sie, um Ausfallzeiten der Ausrüstung zu vermeiden.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5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A965D5"/>
    <w:rsid w:val="00012607"/>
    <w:rsid w:val="00040BD3"/>
    <w:rsid w:val="00045F95"/>
    <w:rsid w:val="00063DC5"/>
    <w:rsid w:val="000B4087"/>
    <w:rsid w:val="00100217"/>
    <w:rsid w:val="00101C39"/>
    <w:rsid w:val="001203BC"/>
    <w:rsid w:val="00125BE9"/>
    <w:rsid w:val="001329BC"/>
    <w:rsid w:val="00153505"/>
    <w:rsid w:val="00156749"/>
    <w:rsid w:val="001C248D"/>
    <w:rsid w:val="001F35BC"/>
    <w:rsid w:val="002266F8"/>
    <w:rsid w:val="002328A7"/>
    <w:rsid w:val="002474B6"/>
    <w:rsid w:val="00276F4D"/>
    <w:rsid w:val="002B0BEB"/>
    <w:rsid w:val="002D55F4"/>
    <w:rsid w:val="002E46FA"/>
    <w:rsid w:val="002E70F3"/>
    <w:rsid w:val="002F33A8"/>
    <w:rsid w:val="00325518"/>
    <w:rsid w:val="003D24B1"/>
    <w:rsid w:val="00423A29"/>
    <w:rsid w:val="004545FE"/>
    <w:rsid w:val="004B6CA1"/>
    <w:rsid w:val="004D3558"/>
    <w:rsid w:val="004D3E8F"/>
    <w:rsid w:val="004F6452"/>
    <w:rsid w:val="00505606"/>
    <w:rsid w:val="00511D92"/>
    <w:rsid w:val="00543DED"/>
    <w:rsid w:val="00546853"/>
    <w:rsid w:val="005A7666"/>
    <w:rsid w:val="005C0AB8"/>
    <w:rsid w:val="005F3D71"/>
    <w:rsid w:val="005F4A9B"/>
    <w:rsid w:val="005F5307"/>
    <w:rsid w:val="00607BDC"/>
    <w:rsid w:val="00631141"/>
    <w:rsid w:val="00665D0D"/>
    <w:rsid w:val="006662CC"/>
    <w:rsid w:val="00676CF2"/>
    <w:rsid w:val="0069649B"/>
    <w:rsid w:val="00697794"/>
    <w:rsid w:val="006B0813"/>
    <w:rsid w:val="006B3553"/>
    <w:rsid w:val="007139C2"/>
    <w:rsid w:val="00793C67"/>
    <w:rsid w:val="007E6195"/>
    <w:rsid w:val="007E7B9D"/>
    <w:rsid w:val="00844983"/>
    <w:rsid w:val="008A04DA"/>
    <w:rsid w:val="0094252E"/>
    <w:rsid w:val="00947839"/>
    <w:rsid w:val="0098065A"/>
    <w:rsid w:val="00992544"/>
    <w:rsid w:val="00A15F57"/>
    <w:rsid w:val="00A965D5"/>
    <w:rsid w:val="00AA289A"/>
    <w:rsid w:val="00AB1017"/>
    <w:rsid w:val="00AD340C"/>
    <w:rsid w:val="00AD6DB1"/>
    <w:rsid w:val="00B20521"/>
    <w:rsid w:val="00B3519D"/>
    <w:rsid w:val="00B40D1E"/>
    <w:rsid w:val="00B45DA9"/>
    <w:rsid w:val="00B56963"/>
    <w:rsid w:val="00B8398C"/>
    <w:rsid w:val="00C143BB"/>
    <w:rsid w:val="00C22009"/>
    <w:rsid w:val="00C34FF3"/>
    <w:rsid w:val="00C50635"/>
    <w:rsid w:val="00C60719"/>
    <w:rsid w:val="00C80B21"/>
    <w:rsid w:val="00C928C2"/>
    <w:rsid w:val="00CC151E"/>
    <w:rsid w:val="00CE775C"/>
    <w:rsid w:val="00CE799A"/>
    <w:rsid w:val="00CF5B5B"/>
    <w:rsid w:val="00D04E97"/>
    <w:rsid w:val="00D86CE8"/>
    <w:rsid w:val="00DA4D33"/>
    <w:rsid w:val="00DB54BF"/>
    <w:rsid w:val="00DC69A7"/>
    <w:rsid w:val="00DD6735"/>
    <w:rsid w:val="00EC3E78"/>
    <w:rsid w:val="00ED3D5C"/>
    <w:rsid w:val="00F225AC"/>
    <w:rsid w:val="00F32CB4"/>
    <w:rsid w:val="00F41722"/>
    <w:rsid w:val="00F539E0"/>
    <w:rsid w:val="00FA4756"/>
    <w:rsid w:val="00FB6B29"/>
    <w:rsid w:val="00FC0852"/>
    <w:rsid w:val="00FC463E"/>
    <w:rsid w:val="084671C0"/>
    <w:rsid w:val="45FD64DC"/>
    <w:rsid w:val="54E3159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link w:val="1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nhideWhenUsed/>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4">
    <w:name w:val="Date"/>
    <w:basedOn w:val="1"/>
    <w:next w:val="1"/>
    <w:link w:val="15"/>
    <w:semiHidden/>
    <w:unhideWhenUsed/>
    <w:qFormat/>
    <w:uiPriority w:val="99"/>
    <w:pPr>
      <w:ind w:left="100" w:leftChars="2500"/>
    </w:pPr>
  </w:style>
  <w:style w:type="paragraph" w:styleId="5">
    <w:name w:val="footer"/>
    <w:basedOn w:val="1"/>
    <w:link w:val="14"/>
    <w:semiHidden/>
    <w:unhideWhenUsed/>
    <w:qFormat/>
    <w:uiPriority w:val="99"/>
    <w:pPr>
      <w:tabs>
        <w:tab w:val="center" w:pos="4153"/>
        <w:tab w:val="right" w:pos="8306"/>
      </w:tabs>
      <w:snapToGrid w:val="0"/>
      <w:jc w:val="left"/>
    </w:pPr>
    <w:rPr>
      <w:sz w:val="18"/>
      <w:szCs w:val="18"/>
    </w:rPr>
  </w:style>
  <w:style w:type="paragraph" w:styleId="6">
    <w:name w:val="header"/>
    <w:basedOn w:val="1"/>
    <w:link w:val="1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1">
    <w:name w:val="标题 2 Char"/>
    <w:basedOn w:val="8"/>
    <w:link w:val="3"/>
    <w:uiPriority w:val="9"/>
    <w:rPr>
      <w:rFonts w:asciiTheme="majorHAnsi" w:hAnsiTheme="majorHAnsi" w:eastAsiaTheme="majorEastAsia" w:cstheme="majorBidi"/>
      <w:b/>
      <w:bCs/>
      <w:sz w:val="32"/>
      <w:szCs w:val="32"/>
    </w:rPr>
  </w:style>
  <w:style w:type="paragraph" w:styleId="12">
    <w:name w:val="List Paragraph"/>
    <w:basedOn w:val="1"/>
    <w:qFormat/>
    <w:uiPriority w:val="34"/>
    <w:pPr>
      <w:ind w:firstLine="420" w:firstLineChars="200"/>
    </w:pPr>
  </w:style>
  <w:style w:type="character" w:customStyle="1" w:styleId="13">
    <w:name w:val="页眉 Char"/>
    <w:basedOn w:val="8"/>
    <w:link w:val="6"/>
    <w:semiHidden/>
    <w:qFormat/>
    <w:uiPriority w:val="99"/>
    <w:rPr>
      <w:sz w:val="18"/>
      <w:szCs w:val="18"/>
    </w:rPr>
  </w:style>
  <w:style w:type="character" w:customStyle="1" w:styleId="14">
    <w:name w:val="页脚 Char"/>
    <w:basedOn w:val="8"/>
    <w:link w:val="5"/>
    <w:semiHidden/>
    <w:qFormat/>
    <w:uiPriority w:val="99"/>
    <w:rPr>
      <w:sz w:val="18"/>
      <w:szCs w:val="18"/>
    </w:rPr>
  </w:style>
  <w:style w:type="character" w:customStyle="1" w:styleId="15">
    <w:name w:val="日期 Char"/>
    <w:basedOn w:val="8"/>
    <w:link w:val="4"/>
    <w:semiHidden/>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1668</Words>
  <Characters>9510</Characters>
  <Lines>79</Lines>
  <Paragraphs>22</Paragraphs>
  <TotalTime>31</TotalTime>
  <ScaleCrop>false</ScaleCrop>
  <LinksUpToDate>false</LinksUpToDate>
  <CharactersWithSpaces>11156</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2017-11-28T03:12:00Z</dcterms:created>
  <dc:creator>Windows 用户</dc:creator>
  <cp:lastModifiedBy>Administrator</cp:lastModifiedBy>
  <dcterms:modified xsi:type="dcterms:W3CDTF">2018-11-09T01:02:11Z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