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微软雅黑" w:hAnsi="微软雅黑" w:eastAsia="微软雅黑" w:cs="微软雅黑"/>
          <w:color w:val="000000" w:themeColor="text1"/>
          <w:sz w:val="18"/>
          <w:szCs w:val="18"/>
          <w:lang w:eastAsia="zh-CN"/>
          <w14:textFill>
            <w14:solidFill>
              <w14:schemeClr w14:val="tx1"/>
            </w14:solidFill>
          </w14:textFill>
        </w:rPr>
      </w:pPr>
      <w:r>
        <w:rPr>
          <w:rFonts w:hint="eastAsia" w:ascii="微软雅黑" w:hAnsi="微软雅黑" w:eastAsia="微软雅黑" w:cs="微软雅黑"/>
          <w:color w:val="000000" w:themeColor="text1"/>
          <w:sz w:val="18"/>
          <w:szCs w:val="18"/>
          <w:lang w:eastAsia="zh-CN"/>
          <w14:textFill>
            <w14:solidFill>
              <w14:schemeClr w14:val="tx1"/>
            </w14:solidFill>
          </w14:textFill>
        </w:rPr>
        <w:t>Informationen zum Axial-Kegelrollenlager</w:t>
      </w:r>
    </w:p>
    <w:p>
      <w:pPr>
        <w:rPr>
          <w:rFonts w:hint="eastAsia" w:ascii="微软雅黑" w:hAnsi="微软雅黑" w:eastAsia="微软雅黑" w:cs="微软雅黑"/>
          <w:color w:val="000000" w:themeColor="text1"/>
          <w:sz w:val="18"/>
          <w:szCs w:val="18"/>
          <w:lang w:eastAsia="zh-CN"/>
          <w14:textFill>
            <w14:solidFill>
              <w14:schemeClr w14:val="tx1"/>
            </w14:solidFill>
          </w14:textFill>
        </w:rPr>
      </w:pPr>
      <w:r>
        <w:rPr>
          <w:rFonts w:hint="eastAsia" w:ascii="微软雅黑" w:hAnsi="微软雅黑" w:eastAsia="微软雅黑" w:cs="微软雅黑"/>
          <w:color w:val="000000" w:themeColor="text1"/>
          <w:sz w:val="18"/>
          <w:szCs w:val="18"/>
          <w:lang w:eastAsia="zh-CN"/>
          <w14:textFill>
            <w14:solidFill>
              <w14:schemeClr w14:val="tx1"/>
            </w14:solidFill>
          </w14:textFill>
        </w:rPr>
        <w:t>         Axial-Kegelrollenlager bilden eine axial sehr kompakte Lageranordnung, die hohen axialen Belastungen standhält, unempfindlich gegen Stoßbelastungen ist und starr ist. Einweg-Axial-Kegelrollenlager und Zwei-Wege-Kegelrollenlager. Das Anschraublager bildet ein speziell konstruiertes Einweg-Kegelrollenlager mit Vollrollen. Axial-Kegelrollenlager haben eine logarithmische Berührungslinie zwischen Laufbahn und Rolle, um eine optimale Spannungsverteilung im Lager zu gewährleisten und somit die Lagerlebensdauer zu verlängern.</w:t>
      </w:r>
    </w:p>
    <w:p>
      <w:pPr>
        <w:rPr>
          <w:rFonts w:hint="eastAsia" w:ascii="微软雅黑" w:hAnsi="微软雅黑" w:eastAsia="微软雅黑" w:cs="微软雅黑"/>
          <w:color w:val="000000" w:themeColor="text1"/>
          <w:sz w:val="18"/>
          <w:szCs w:val="18"/>
          <w:lang w:eastAsia="zh-CN"/>
          <w14:textFill>
            <w14:solidFill>
              <w14:schemeClr w14:val="tx1"/>
            </w14:solidFill>
          </w14:textFill>
        </w:rPr>
      </w:pPr>
      <w:r>
        <w:rPr>
          <w:rFonts w:hint="eastAsia" w:ascii="微软雅黑" w:hAnsi="微软雅黑" w:eastAsia="微软雅黑" w:cs="微软雅黑"/>
          <w:color w:val="000000" w:themeColor="text1"/>
          <w:sz w:val="18"/>
          <w:szCs w:val="18"/>
          <w:lang w:eastAsia="zh-CN"/>
          <w14:textFill>
            <w14:solidFill>
              <w14:schemeClr w14:val="tx1"/>
            </w14:solidFill>
          </w14:textFill>
        </w:rPr>
        <w:t>    Da das Wälzelement im Axial-Kegelrollenlager eine Kegelrolle ist, da sich sowohl die Rollsammelschiene als auch die Laufbahnsammelschiene der Scheibe an einem bestimmten Punkt in der axialen Mitte des Lagers treffen, kann die Rollfläche eine reine Rollgeschwindigkeitsgrenzgeschwindigkeit bilden. Höher als Axial-Zylinderrollenlager.</w:t>
      </w:r>
    </w:p>
    <w:p>
      <w:pPr>
        <w:rPr>
          <w:rFonts w:hint="eastAsia" w:ascii="微软雅黑" w:hAnsi="微软雅黑" w:eastAsia="微软雅黑" w:cs="微软雅黑"/>
          <w:color w:val="000000" w:themeColor="text1"/>
          <w:sz w:val="18"/>
          <w:szCs w:val="18"/>
          <w:lang w:eastAsia="zh-CN"/>
          <w14:textFill>
            <w14:solidFill>
              <w14:schemeClr w14:val="tx1"/>
            </w14:solidFill>
          </w14:textFill>
        </w:rPr>
      </w:pPr>
      <w:r>
        <w:rPr>
          <w:rFonts w:hint="eastAsia" w:ascii="微软雅黑" w:hAnsi="微软雅黑" w:eastAsia="微软雅黑" w:cs="微软雅黑"/>
          <w:color w:val="000000" w:themeColor="text1"/>
          <w:sz w:val="18"/>
          <w:szCs w:val="18"/>
          <w:lang w:eastAsia="zh-CN"/>
          <w14:textFill>
            <w14:solidFill>
              <w14:schemeClr w14:val="tx1"/>
            </w14:solidFill>
          </w14:textFill>
        </w:rPr>
        <w:t>    Aufgrund des geringen Produktionsvolumens von Axial-Kegelrollenlagern sind die Modelle, die in verschiedenen Fabriken hergestellt werden, meist nicht standardmßige Außenabmessungen, während die Serien der Standardaußenabmessungen weniger produziert werden, so dass es keine nationalen Normen für die Größe dieser Lager gibt.</w:t>
      </w:r>
    </w:p>
    <w:p>
      <w:pPr>
        <w:rPr>
          <w:rFonts w:hint="eastAsia" w:ascii="微软雅黑" w:hAnsi="微软雅黑" w:eastAsia="微软雅黑" w:cs="微软雅黑"/>
          <w:color w:val="000000" w:themeColor="text1"/>
          <w:sz w:val="18"/>
          <w:szCs w:val="18"/>
          <w:lang w:eastAsia="zh-CN"/>
          <w14:textFill>
            <w14:solidFill>
              <w14:schemeClr w14:val="tx1"/>
            </w14:solidFill>
          </w14:textFill>
        </w:rPr>
      </w:pPr>
      <w:r>
        <w:rPr>
          <w:rFonts w:hint="eastAsia" w:ascii="微软雅黑" w:hAnsi="微软雅黑" w:eastAsia="微软雅黑" w:cs="微软雅黑"/>
          <w:color w:val="000000" w:themeColor="text1"/>
          <w:sz w:val="18"/>
          <w:szCs w:val="18"/>
          <w:lang w:eastAsia="zh-CN"/>
          <w14:textFill>
            <w14:solidFill>
              <w14:schemeClr w14:val="tx1"/>
            </w14:solidFill>
          </w14:textFill>
        </w:rPr>
        <w:t>    Das Axial-Kegelrollenlager mit Käfig ist eine geteilte Konstruktion, so dass die beiden Unterlegscheiben sowie die Rollen- und Käfigschubeinheiten leicht separat installiert werden können. Vollschraubenlager werden durch spezielle Positionierelemente zusammengehalten: Die Unterlegscheiben verfügen über Gewindebohrungen für Hebeschrauben. Siehe die folgende Einführung:</w:t>
      </w:r>
    </w:p>
    <w:p>
      <w:pPr>
        <w:rPr>
          <w:rFonts w:hint="eastAsia" w:ascii="微软雅黑" w:hAnsi="微软雅黑" w:eastAsia="微软雅黑" w:cs="微软雅黑"/>
          <w:color w:val="000000" w:themeColor="text1"/>
          <w:sz w:val="18"/>
          <w:szCs w:val="18"/>
          <w:lang w:eastAsia="zh-CN"/>
          <w14:textFill>
            <w14:solidFill>
              <w14:schemeClr w14:val="tx1"/>
            </w14:solidFill>
          </w14:textFill>
        </w:rPr>
      </w:pPr>
      <w:r>
        <w:rPr>
          <w:rFonts w:hint="eastAsia" w:ascii="微软雅黑" w:hAnsi="微软雅黑" w:eastAsia="微软雅黑" w:cs="微软雅黑"/>
          <w:color w:val="000000" w:themeColor="text1"/>
          <w:sz w:val="18"/>
          <w:szCs w:val="18"/>
          <w:lang w:eastAsia="zh-CN"/>
          <w14:textFill>
            <w14:solidFill>
              <w14:schemeClr w14:val="tx1"/>
            </w14:solidFill>
          </w14:textFill>
        </w:rPr>
        <w:t>     Kleine Einweg-Axial-Kegelrollenlager werden fast ausschließlich in Gelenklager-Konfigurationen für Nutzfahrzeuge eingesetzt. Diese Art von Lager hat eine volle Rolle und ist mit einer dünnen Stahlblechabdeckung befestigt. Die meisten dieser Lager sind mit verschleißfesten, ölbeständigen Nitrilkautschuk-Reibungsdichtungen (NBR) ausgestattet. Diese Lager sind Mehrzweckfett für die Lebensdauerschmierung und erfordern keine Wartung. Es gibt verschiedene Ausführungen, der einzige Unterschied besteht in der Gestaltung des Lagergehäusrings und des Lagergehäuses.</w:t>
      </w:r>
    </w:p>
    <w:p>
      <w:pPr>
        <w:rPr>
          <w:rFonts w:hint="eastAsia" w:ascii="微软雅黑" w:hAnsi="微软雅黑" w:eastAsia="微软雅黑" w:cs="微软雅黑"/>
          <w:color w:val="000000" w:themeColor="text1"/>
          <w:sz w:val="18"/>
          <w:szCs w:val="18"/>
          <w:lang w:eastAsia="zh-CN"/>
          <w14:textFill>
            <w14:solidFill>
              <w14:schemeClr w14:val="tx1"/>
            </w14:solidFill>
          </w14:textFill>
        </w:rPr>
      </w:pPr>
      <w:r>
        <w:rPr>
          <w:rFonts w:hint="eastAsia" w:ascii="微软雅黑" w:hAnsi="微软雅黑" w:eastAsia="微软雅黑" w:cs="微软雅黑"/>
          <w:color w:val="000000" w:themeColor="text1"/>
          <w:sz w:val="18"/>
          <w:szCs w:val="18"/>
          <w:lang w:eastAsia="zh-CN"/>
          <w14:textFill>
            <w14:solidFill>
              <w14:schemeClr w14:val="tx1"/>
            </w14:solidFill>
          </w14:textFill>
        </w:rPr>
        <w:t>    Größere Einweg-Lagerscheiben werden anders hergestellt, einige Lagerscheiben sind koaxial mit den Lagergehäuseläufen, andere haben andere Konstruktionen.</w:t>
      </w:r>
    </w:p>
    <w:p>
      <w:pPr>
        <w:rPr>
          <w:rFonts w:hint="eastAsia" w:ascii="微软雅黑" w:hAnsi="微软雅黑" w:eastAsia="微软雅黑" w:cs="微软雅黑"/>
          <w:color w:val="000000" w:themeColor="text1"/>
          <w:sz w:val="18"/>
          <w:szCs w:val="18"/>
          <w:lang w:eastAsia="zh-CN"/>
          <w14:textFill>
            <w14:solidFill>
              <w14:schemeClr w14:val="tx1"/>
            </w14:solidFill>
          </w14:textFill>
        </w:rPr>
      </w:pPr>
      <w:r>
        <w:rPr>
          <w:rFonts w:hint="eastAsia" w:ascii="微软雅黑" w:hAnsi="微软雅黑" w:eastAsia="微软雅黑" w:cs="微软雅黑"/>
          <w:color w:val="000000" w:themeColor="text1"/>
          <w:sz w:val="18"/>
          <w:szCs w:val="18"/>
          <w:lang w:eastAsia="zh-CN"/>
          <w14:textFill>
            <w14:solidFill>
              <w14:schemeClr w14:val="tx1"/>
            </w14:solidFill>
          </w14:textFill>
        </w:rPr>
        <w:t>Die Dichtung mit der gleichen Größe und dem koaxialen Lagergehäuse hat eine konische Laufbahn und eine Positionierungsrippe. Lager dieser Bauart werden häufig in Anwendungen eingesetzt, in denen große axiale Belastungen auftreten müssen, z. B. an Bohrgeräten oder Kranhaken. Dieses Lager hat einen Käfig, der von zwei Scheiben positioniert wird.</w:t>
      </w:r>
    </w:p>
    <w:p>
      <w:pPr>
        <w:rPr>
          <w:rFonts w:hint="eastAsia" w:ascii="微软雅黑" w:hAnsi="微软雅黑" w:eastAsia="微软雅黑" w:cs="微软雅黑"/>
          <w:color w:val="000000" w:themeColor="text1"/>
          <w:sz w:val="18"/>
          <w:szCs w:val="18"/>
          <w:lang w:eastAsia="zh-CN"/>
          <w14:textFill>
            <w14:solidFill>
              <w14:schemeClr w14:val="tx1"/>
            </w14:solidFill>
          </w14:textFill>
        </w:rPr>
      </w:pPr>
      <w:r>
        <w:rPr>
          <w:rFonts w:hint="eastAsia" w:ascii="微软雅黑" w:hAnsi="微软雅黑" w:eastAsia="微软雅黑" w:cs="微软雅黑"/>
          <w:color w:val="000000" w:themeColor="text1"/>
          <w:sz w:val="18"/>
          <w:szCs w:val="18"/>
          <w:lang w:eastAsia="zh-CN"/>
          <w14:textFill>
            <w14:solidFill>
              <w14:schemeClr w14:val="tx1"/>
            </w14:solidFill>
          </w14:textFill>
        </w:rPr>
        <w:t>     Die Wellenscheiben anderer Konstruktionen haben sich verjüngende Laufbahnen und Fixierrippen, während die Lagergehäuseläufe flach (flach) sind. Daher können Lager dieser Konstruktion eine leichte Exzentrizität der Welle relativ zur Bohrung des Lagergehäuses annehmen, ohne die Lagerleistung nachteilig zu beeinflussen. Neben mehreren Größen mit Vollrollen haben diese Lager Käfige, die konzentrisch zu den Rollen sind.</w:t>
      </w:r>
    </w:p>
    <w:p>
      <w:pPr>
        <w:rPr>
          <w:rFonts w:hint="eastAsia" w:ascii="微软雅黑" w:hAnsi="微软雅黑" w:eastAsia="微软雅黑" w:cs="微软雅黑"/>
          <w:color w:val="000000" w:themeColor="text1"/>
          <w:sz w:val="18"/>
          <w:szCs w:val="18"/>
          <w:lang w:eastAsia="zh-CN"/>
          <w14:textFill>
            <w14:solidFill>
              <w14:schemeClr w14:val="tx1"/>
            </w14:solidFill>
          </w14:textFill>
        </w:rPr>
      </w:pPr>
      <w:r>
        <w:rPr>
          <w:rFonts w:hint="eastAsia" w:ascii="微软雅黑" w:hAnsi="微软雅黑" w:eastAsia="微软雅黑" w:cs="微软雅黑"/>
          <w:color w:val="000000" w:themeColor="text1"/>
          <w:sz w:val="18"/>
          <w:szCs w:val="18"/>
          <w:lang w:eastAsia="zh-CN"/>
          <w14:textFill>
            <w14:solidFill>
              <w14:schemeClr w14:val="tx1"/>
            </w14:solidFill>
          </w14:textFill>
        </w:rPr>
        <w:t>    Zweiweg-Kegelrollenlager werden hauptsächlich in Walzwerken mit mehrreihigen Zylinderrollenlagern eingesetzt. Diese Art von Lager mit einer flachen Wellenscheibe ist deshalb beliebter</w:t>
      </w:r>
    </w:p>
    <w:p>
      <w:pPr>
        <w:rPr>
          <w:rFonts w:hint="eastAsia" w:ascii="微软雅黑" w:hAnsi="微软雅黑" w:eastAsia="微软雅黑" w:cs="微软雅黑"/>
          <w:color w:val="000000" w:themeColor="text1"/>
          <w:sz w:val="18"/>
          <w:szCs w:val="18"/>
          <w:lang w:eastAsia="zh-CN"/>
          <w14:textFill>
            <w14:solidFill>
              <w14:schemeClr w14:val="tx1"/>
            </w14:solidFill>
          </w14:textFill>
        </w:rPr>
      </w:pPr>
      <w:r>
        <w:rPr>
          <w:rFonts w:hint="eastAsia" w:ascii="微软雅黑" w:hAnsi="微软雅黑" w:eastAsia="微软雅黑" w:cs="微软雅黑"/>
          <w:color w:val="000000" w:themeColor="text1"/>
          <w:sz w:val="18"/>
          <w:szCs w:val="18"/>
          <w:lang w:eastAsia="zh-CN"/>
          <w14:textFill>
            <w14:solidFill>
              <w14:schemeClr w14:val="tx1"/>
            </w14:solidFill>
          </w14:textFill>
        </w:rPr>
        <w:t xml:space="preserve">Das Zweiwege-Axialkegelrollenlager kann einer geringen Exzentrizität der Welle in Bezug auf die Bohrung des Lagergehäuses und geringen Schwankungen in der radialen Lagerluft des Radiallagers standhalten. Eine Distanzhülse ist zwischen den beiden Lagergehäuseläufen angeordnet. Durch die Größe der Distanzhülse können die Schrauben des Walzenlagergehäusedeckels vollständig angezogen werden, und die Lager erfordern keine besonderen </w:t>
      </w:r>
      <w:bookmarkStart w:id="0" w:name="_GoBack"/>
      <w:bookmarkEnd w:id="0"/>
      <w:r>
        <w:rPr>
          <w:rFonts w:hint="eastAsia" w:ascii="微软雅黑" w:hAnsi="微软雅黑" w:eastAsia="微软雅黑" w:cs="微软雅黑"/>
          <w:color w:val="000000" w:themeColor="text1"/>
          <w:sz w:val="18"/>
          <w:szCs w:val="18"/>
          <w:lang w:eastAsia="zh-CN"/>
          <w14:textFill>
            <w14:solidFill>
              <w14:schemeClr w14:val="tx1"/>
            </w14:solidFill>
          </w14:textFill>
        </w:rPr>
        <w:t>Federeinstellungen.</w:t>
      </w:r>
    </w:p>
    <w:p>
      <w:pPr>
        <w:rPr>
          <w:rFonts w:hint="eastAsia" w:ascii="微软雅黑" w:hAnsi="微软雅黑" w:eastAsia="微软雅黑" w:cs="微软雅黑"/>
          <w:color w:val="000000" w:themeColor="text1"/>
          <w:sz w:val="18"/>
          <w:szCs w:val="18"/>
          <w:lang w:eastAsia="zh-CN"/>
          <w14:textFill>
            <w14:solidFill>
              <w14:schemeClr w14:val="tx1"/>
            </w14:solidFill>
          </w14:textFill>
        </w:rPr>
      </w:pPr>
      <w:r>
        <w:rPr>
          <w:rFonts w:hint="eastAsia" w:ascii="微软雅黑" w:hAnsi="微软雅黑" w:eastAsia="微软雅黑" w:cs="微软雅黑"/>
          <w:color w:val="000000" w:themeColor="text1"/>
          <w:sz w:val="18"/>
          <w:szCs w:val="18"/>
          <w:lang w:eastAsia="zh-CN"/>
          <w14:textFill>
            <w14:solidFill>
              <w14:schemeClr w14:val="tx1"/>
            </w14:solidFill>
          </w14:textFill>
        </w:rPr>
        <w:t>     Wellen- und Lagergehäuse-Laufringe Bidirektionale Kegelrollenlager mit kegeligen Laufbahnen. Im Allgemeinen hat das Lager mit einem flachen Wellenring eine höhere axiale Tragfähigkeit und kann die Welle in gewissem Maße radial positionieren. Wenn die Tragfähigkeit dieses Lagers unter Berücksichtigung der erforderlichen Lebensdauer nicht ausreicht, kann ein zweireihiges Kegelrollenlager in TDIS-Ausführung mit großem Kontaktwinkel verwendet werden, siehe "Zweireihiges Kegelrollenlager".</w:t>
      </w:r>
    </w:p>
    <w:p>
      <w:pPr>
        <w:rPr>
          <w:rFonts w:hint="eastAsia" w:ascii="微软雅黑" w:hAnsi="微软雅黑" w:eastAsia="微软雅黑" w:cs="微软雅黑"/>
          <w:color w:val="000000" w:themeColor="text1"/>
          <w:sz w:val="18"/>
          <w:szCs w:val="18"/>
          <w:lang w:eastAsia="zh-CN"/>
          <w14:textFill>
            <w14:solidFill>
              <w14:schemeClr w14:val="tx1"/>
            </w14:solidFill>
          </w14:textFill>
        </w:rPr>
      </w:pPr>
      <w:r>
        <w:rPr>
          <w:rFonts w:hint="eastAsia" w:ascii="微软雅黑" w:hAnsi="微软雅黑" w:eastAsia="微软雅黑" w:cs="微软雅黑"/>
          <w:color w:val="000000" w:themeColor="text1"/>
          <w:sz w:val="18"/>
          <w:szCs w:val="18"/>
          <w:lang w:eastAsia="zh-CN"/>
          <w14:textFill>
            <w14:solidFill>
              <w14:schemeClr w14:val="tx1"/>
            </w14:solidFill>
          </w14:textFill>
        </w:rPr>
        <w:t>    Da die Zweiwege-Axial-Kegelrollenlager gewöhnlich lose auf dem Walzenzapfen und dem Wälzlagergehäuse montiert sind, weisen die meisten Lagerwellenringe eine oder zwei Positioniernuten auf. Dies ermöglicht es, zu verhindern, dass sich der Wellenring auf der Welle dreht, indem ein in die Positionierungsnut oder dergleichen eingebetteter Schlüssel verwendet wird.</w:t>
      </w:r>
    </w:p>
    <w:p>
      <w:pPr>
        <w:rPr>
          <w:rFonts w:hint="eastAsia" w:ascii="微软雅黑" w:hAnsi="微软雅黑" w:eastAsia="微软雅黑" w:cs="微软雅黑"/>
          <w:color w:val="000000" w:themeColor="text1"/>
          <w:sz w:val="18"/>
          <w:szCs w:val="18"/>
          <w:lang w:eastAsia="zh-CN"/>
          <w14:textFill>
            <w14:solidFill>
              <w14:schemeClr w14:val="tx1"/>
            </w14:solidFill>
          </w14:textFill>
        </w:rPr>
      </w:pPr>
      <w:r>
        <w:rPr>
          <w:rFonts w:hint="eastAsia" w:ascii="微软雅黑" w:hAnsi="微软雅黑" w:eastAsia="微软雅黑" w:cs="微软雅黑"/>
          <w:color w:val="000000" w:themeColor="text1"/>
          <w:sz w:val="18"/>
          <w:szCs w:val="18"/>
          <w:lang w:eastAsia="zh-CN"/>
          <w14:textFill>
            <w14:solidFill>
              <w14:schemeClr w14:val="tx1"/>
            </w14:solidFill>
          </w14:textFill>
        </w:rPr>
        <w:t>     Diese Art von Axial-Kegelrollenlager muss extremen axialen Belastungen standhalten und eine Winkelverschiebung der Gewindewelle relativ zum Träger ermöglichen. Daher sind solche Lager in der Regel Vollrollen mit großem Durchmesser und extra langen Rollen. Um dem Zentrierversatz des Wälzlagergehäuses standzuhalten, ohne die Lagerleistung zu beeinträchtigen, weist das Lager einen Kugelring auf. Der Laufring kann ein Laufring oder ein Lagergehäuse-Laufring sein.</w:t>
      </w:r>
    </w:p>
    <w:p>
      <w:pPr>
        <w:rPr>
          <w:rFonts w:hint="eastAsia" w:ascii="微软雅黑" w:hAnsi="微软雅黑" w:eastAsia="微软雅黑" w:cs="微软雅黑"/>
          <w:color w:val="000000" w:themeColor="text1"/>
          <w:sz w:val="18"/>
          <w:szCs w:val="18"/>
          <w:lang w:eastAsia="zh-CN"/>
          <w14:textFill>
            <w14:solidFill>
              <w14:schemeClr w14:val="tx1"/>
            </w14:solidFill>
          </w14:textFill>
        </w:rPr>
      </w:pPr>
      <w:r>
        <w:rPr>
          <w:rFonts w:hint="eastAsia" w:ascii="微软雅黑" w:hAnsi="微软雅黑" w:eastAsia="微软雅黑" w:cs="微软雅黑"/>
          <w:color w:val="000000" w:themeColor="text1"/>
          <w:sz w:val="18"/>
          <w:szCs w:val="18"/>
          <w:lang w:eastAsia="zh-CN"/>
          <w14:textFill>
            <w14:solidFill>
              <w14:schemeClr w14:val="tx1"/>
            </w14:solidFill>
          </w14:textFill>
        </w:rPr>
        <w:t>    Bei der Lagerung mit einem Kugelachsenring auf der Walze, die zwischen dem Kugelachsenring und der entsprechenden konkaven Kugelgewindewelle oder Druckplatte angeordnet ist, wird der notwendige Zentrierversatz erzeugt.</w:t>
      </w:r>
    </w:p>
    <w:p>
      <w:pPr>
        <w:rPr>
          <w:rFonts w:hint="eastAsia" w:ascii="微软雅黑" w:hAnsi="微软雅黑" w:eastAsia="微软雅黑" w:cs="微软雅黑"/>
          <w:color w:val="000000" w:themeColor="text1"/>
          <w:sz w:val="18"/>
          <w:szCs w:val="18"/>
          <w:lang w:eastAsia="zh-CN"/>
          <w14:textFill>
            <w14:solidFill>
              <w14:schemeClr w14:val="tx1"/>
            </w14:solidFill>
          </w14:textFill>
        </w:rPr>
      </w:pPr>
      <w:r>
        <w:rPr>
          <w:rFonts w:hint="eastAsia" w:ascii="微软雅黑" w:hAnsi="微软雅黑" w:eastAsia="微软雅黑" w:cs="微软雅黑"/>
          <w:color w:val="000000" w:themeColor="text1"/>
          <w:sz w:val="18"/>
          <w:szCs w:val="18"/>
          <w:lang w:eastAsia="zh-CN"/>
          <w14:textFill>
            <w14:solidFill>
              <w14:schemeClr w14:val="tx1"/>
            </w14:solidFill>
          </w14:textFill>
        </w:rPr>
        <w:t>    Wenn der Lagergehäuserring kugelförmig ist, wird der Zentrierversatz von der Walze aufgenommen, die zwischen dem Lagergehäuserring und der Druckwand angeordnet ist. Druckleitbleche für solche Lager werden normalerweise mit den Lagern geliefert. Anschraublager in verschiedenen Ausführungen, die speziell auf die jeweiligen Anforderungen einer bestimmten Anwendung zugeschnitten sind.</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5F" w:usb2="00000000"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A965D5"/>
    <w:rsid w:val="00012607"/>
    <w:rsid w:val="00040BD3"/>
    <w:rsid w:val="00045F95"/>
    <w:rsid w:val="00063DC5"/>
    <w:rsid w:val="000B4087"/>
    <w:rsid w:val="00100217"/>
    <w:rsid w:val="00101C39"/>
    <w:rsid w:val="001203BC"/>
    <w:rsid w:val="00125BE9"/>
    <w:rsid w:val="001329BC"/>
    <w:rsid w:val="00153505"/>
    <w:rsid w:val="00156749"/>
    <w:rsid w:val="001C248D"/>
    <w:rsid w:val="001F35BC"/>
    <w:rsid w:val="002266F8"/>
    <w:rsid w:val="002328A7"/>
    <w:rsid w:val="002474B6"/>
    <w:rsid w:val="00276F4D"/>
    <w:rsid w:val="002B0BEB"/>
    <w:rsid w:val="002D55F4"/>
    <w:rsid w:val="002E46FA"/>
    <w:rsid w:val="002E70F3"/>
    <w:rsid w:val="002F33A8"/>
    <w:rsid w:val="00325518"/>
    <w:rsid w:val="003D24B1"/>
    <w:rsid w:val="00423A29"/>
    <w:rsid w:val="004545FE"/>
    <w:rsid w:val="004B6CA1"/>
    <w:rsid w:val="004D3558"/>
    <w:rsid w:val="004D3E8F"/>
    <w:rsid w:val="004F6452"/>
    <w:rsid w:val="00505606"/>
    <w:rsid w:val="00511D92"/>
    <w:rsid w:val="00543DED"/>
    <w:rsid w:val="00546853"/>
    <w:rsid w:val="005A7666"/>
    <w:rsid w:val="005C0AB8"/>
    <w:rsid w:val="005F3D71"/>
    <w:rsid w:val="005F4A9B"/>
    <w:rsid w:val="005F5307"/>
    <w:rsid w:val="00607BDC"/>
    <w:rsid w:val="00631141"/>
    <w:rsid w:val="00665D0D"/>
    <w:rsid w:val="006662CC"/>
    <w:rsid w:val="00676CF2"/>
    <w:rsid w:val="0069649B"/>
    <w:rsid w:val="00697794"/>
    <w:rsid w:val="006B0813"/>
    <w:rsid w:val="006B3553"/>
    <w:rsid w:val="007139C2"/>
    <w:rsid w:val="00793C67"/>
    <w:rsid w:val="007E6195"/>
    <w:rsid w:val="007E7B9D"/>
    <w:rsid w:val="00844983"/>
    <w:rsid w:val="008A04DA"/>
    <w:rsid w:val="0094252E"/>
    <w:rsid w:val="00947839"/>
    <w:rsid w:val="0098065A"/>
    <w:rsid w:val="00992544"/>
    <w:rsid w:val="00A15F57"/>
    <w:rsid w:val="00A965D5"/>
    <w:rsid w:val="00AA289A"/>
    <w:rsid w:val="00AB1017"/>
    <w:rsid w:val="00AD340C"/>
    <w:rsid w:val="00AD6DB1"/>
    <w:rsid w:val="00B20521"/>
    <w:rsid w:val="00B3519D"/>
    <w:rsid w:val="00B40D1E"/>
    <w:rsid w:val="00B45DA9"/>
    <w:rsid w:val="00B56963"/>
    <w:rsid w:val="00B8398C"/>
    <w:rsid w:val="00C143BB"/>
    <w:rsid w:val="00C22009"/>
    <w:rsid w:val="00C34FF3"/>
    <w:rsid w:val="00C50635"/>
    <w:rsid w:val="00C60719"/>
    <w:rsid w:val="00C80B21"/>
    <w:rsid w:val="00C928C2"/>
    <w:rsid w:val="00CC151E"/>
    <w:rsid w:val="00CE775C"/>
    <w:rsid w:val="00CE799A"/>
    <w:rsid w:val="00CF5B5B"/>
    <w:rsid w:val="00D04E97"/>
    <w:rsid w:val="00D86CE8"/>
    <w:rsid w:val="00DA4D33"/>
    <w:rsid w:val="00DB54BF"/>
    <w:rsid w:val="00DC69A7"/>
    <w:rsid w:val="00DD6735"/>
    <w:rsid w:val="00EC3E78"/>
    <w:rsid w:val="00ED3D5C"/>
    <w:rsid w:val="00F225AC"/>
    <w:rsid w:val="00F32CB4"/>
    <w:rsid w:val="00F41722"/>
    <w:rsid w:val="00F539E0"/>
    <w:rsid w:val="00FA4756"/>
    <w:rsid w:val="00FB6B29"/>
    <w:rsid w:val="00FC0852"/>
    <w:rsid w:val="00FC463E"/>
    <w:rsid w:val="1A0700C8"/>
    <w:rsid w:val="1E4E0E15"/>
    <w:rsid w:val="39904B80"/>
    <w:rsid w:val="41832774"/>
    <w:rsid w:val="45FD64DC"/>
    <w:rsid w:val="51A607BB"/>
    <w:rsid w:val="54E3159A"/>
    <w:rsid w:val="68C1511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link w:val="1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8">
    <w:name w:val="Default Paragraph Font"/>
    <w:semiHidden/>
    <w:unhideWhenUsed/>
    <w:qFormat/>
    <w:uiPriority w:val="1"/>
  </w:style>
  <w:style w:type="table" w:default="1" w:styleId="9">
    <w:name w:val="Normal Table"/>
    <w:semiHidden/>
    <w:unhideWhenUsed/>
    <w:qFormat/>
    <w:uiPriority w:val="99"/>
    <w:tblPr>
      <w:tblLayout w:type="fixed"/>
      <w:tblCellMar>
        <w:top w:w="0" w:type="dxa"/>
        <w:left w:w="108" w:type="dxa"/>
        <w:bottom w:w="0" w:type="dxa"/>
        <w:right w:w="108" w:type="dxa"/>
      </w:tblCellMar>
    </w:tblPr>
  </w:style>
  <w:style w:type="paragraph" w:styleId="4">
    <w:name w:val="Date"/>
    <w:basedOn w:val="1"/>
    <w:next w:val="1"/>
    <w:link w:val="15"/>
    <w:semiHidden/>
    <w:unhideWhenUsed/>
    <w:qFormat/>
    <w:uiPriority w:val="99"/>
    <w:pPr>
      <w:ind w:left="100" w:leftChars="2500"/>
    </w:pPr>
  </w:style>
  <w:style w:type="paragraph" w:styleId="5">
    <w:name w:val="footer"/>
    <w:basedOn w:val="1"/>
    <w:link w:val="14"/>
    <w:semiHidden/>
    <w:unhideWhenUsed/>
    <w:qFormat/>
    <w:uiPriority w:val="99"/>
    <w:pPr>
      <w:tabs>
        <w:tab w:val="center" w:pos="4153"/>
        <w:tab w:val="right" w:pos="8306"/>
      </w:tabs>
      <w:snapToGrid w:val="0"/>
      <w:jc w:val="left"/>
    </w:pPr>
    <w:rPr>
      <w:sz w:val="18"/>
      <w:szCs w:val="18"/>
    </w:rPr>
  </w:style>
  <w:style w:type="paragraph" w:styleId="6">
    <w:name w:val="header"/>
    <w:basedOn w:val="1"/>
    <w:link w:val="13"/>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11">
    <w:name w:val="标题 2 Char"/>
    <w:basedOn w:val="8"/>
    <w:link w:val="3"/>
    <w:qFormat/>
    <w:uiPriority w:val="9"/>
    <w:rPr>
      <w:rFonts w:asciiTheme="majorHAnsi" w:hAnsiTheme="majorHAnsi" w:eastAsiaTheme="majorEastAsia" w:cstheme="majorBidi"/>
      <w:b/>
      <w:bCs/>
      <w:sz w:val="32"/>
      <w:szCs w:val="32"/>
    </w:rPr>
  </w:style>
  <w:style w:type="paragraph" w:styleId="12">
    <w:name w:val="List Paragraph"/>
    <w:basedOn w:val="1"/>
    <w:qFormat/>
    <w:uiPriority w:val="34"/>
    <w:pPr>
      <w:ind w:firstLine="420" w:firstLineChars="200"/>
    </w:pPr>
  </w:style>
  <w:style w:type="character" w:customStyle="1" w:styleId="13">
    <w:name w:val="页眉 Char"/>
    <w:basedOn w:val="8"/>
    <w:link w:val="6"/>
    <w:semiHidden/>
    <w:qFormat/>
    <w:uiPriority w:val="99"/>
    <w:rPr>
      <w:sz w:val="18"/>
      <w:szCs w:val="18"/>
    </w:rPr>
  </w:style>
  <w:style w:type="character" w:customStyle="1" w:styleId="14">
    <w:name w:val="页脚 Char"/>
    <w:basedOn w:val="8"/>
    <w:link w:val="5"/>
    <w:semiHidden/>
    <w:qFormat/>
    <w:uiPriority w:val="99"/>
    <w:rPr>
      <w:sz w:val="18"/>
      <w:szCs w:val="18"/>
    </w:rPr>
  </w:style>
  <w:style w:type="character" w:customStyle="1" w:styleId="15">
    <w:name w:val="日期 Char"/>
    <w:basedOn w:val="8"/>
    <w:link w:val="4"/>
    <w:semiHidden/>
    <w:qFormat/>
    <w:uiPriority w:val="99"/>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1668</Words>
  <Characters>9510</Characters>
  <Lines>79</Lines>
  <Paragraphs>22</Paragraphs>
  <TotalTime>38</TotalTime>
  <ScaleCrop>false</ScaleCrop>
  <LinksUpToDate>false</LinksUpToDate>
  <CharactersWithSpaces>11156</CharactersWithSpaces>
  <Application>WPS Office_10.1.0.7668_F1E327BC-269C-435d-A152-05C5408002CA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2017-11-28T03:12:00Z</dcterms:created>
  <dc:creator>Windows 用户</dc:creator>
  <cp:lastModifiedBy>Administrator</cp:lastModifiedBy>
  <dcterms:modified xsi:type="dcterms:W3CDTF">2018-11-09T00:57:58Z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2052-10.1.0.7668</vt:lpwstr>
  </property>
</Properties>
</file>